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96093" w14:textId="77777777" w:rsidR="00851834" w:rsidRDefault="00851834" w:rsidP="00851834">
      <w:pPr>
        <w:ind w:left="720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val="pl-PL"/>
          <w14:ligatures w14:val="none"/>
        </w:rPr>
      </w:pPr>
    </w:p>
    <w:p w14:paraId="165E9FB9" w14:textId="26FB8CFD" w:rsidR="00851834" w:rsidRDefault="004E5743" w:rsidP="00851834">
      <w:pPr>
        <w:ind w:left="720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val="pl-PL"/>
          <w14:ligatures w14:val="none"/>
        </w:rPr>
      </w:pPr>
      <w:r w:rsidRPr="00851834">
        <w:rPr>
          <w:rFonts w:asciiTheme="minorHAnsi" w:eastAsia="Times New Roman" w:hAnsiTheme="minorHAnsi" w:cstheme="minorHAnsi"/>
          <w:b/>
          <w:bCs/>
          <w:sz w:val="20"/>
          <w:szCs w:val="20"/>
          <w:lang w:val="pl-PL"/>
          <w14:ligatures w14:val="none"/>
        </w:rPr>
        <w:t>Załącznik do regulaminu</w:t>
      </w:r>
      <w:r w:rsidR="006B577D" w:rsidRPr="00851834">
        <w:rPr>
          <w:rFonts w:asciiTheme="minorHAnsi" w:eastAsia="Times New Roman" w:hAnsiTheme="minorHAnsi" w:cstheme="minorHAnsi"/>
          <w:b/>
          <w:bCs/>
          <w:sz w:val="20"/>
          <w:szCs w:val="20"/>
          <w:lang w:val="pl-PL"/>
          <w14:ligatures w14:val="none"/>
        </w:rPr>
        <w:t xml:space="preserve"> określającego zasady rekrutacji i uczestnictwa</w:t>
      </w:r>
    </w:p>
    <w:p w14:paraId="070A6D0D" w14:textId="02F1DB65" w:rsidR="00851834" w:rsidRDefault="006B577D" w:rsidP="00851834">
      <w:pPr>
        <w:ind w:left="720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val="pl-PL"/>
          <w14:ligatures w14:val="none"/>
        </w:rPr>
      </w:pPr>
      <w:r w:rsidRPr="00851834">
        <w:rPr>
          <w:rFonts w:asciiTheme="minorHAnsi" w:eastAsia="Times New Roman" w:hAnsiTheme="minorHAnsi" w:cstheme="minorHAnsi"/>
          <w:b/>
          <w:bCs/>
          <w:sz w:val="20"/>
          <w:szCs w:val="20"/>
          <w:lang w:val="pl-PL"/>
          <w14:ligatures w14:val="none"/>
        </w:rPr>
        <w:t>w Projekcie nr FEDS.08.01-IZ.00-000</w:t>
      </w:r>
      <w:r w:rsidR="005C0923">
        <w:rPr>
          <w:rFonts w:asciiTheme="minorHAnsi" w:eastAsia="Times New Roman" w:hAnsiTheme="minorHAnsi" w:cstheme="minorHAnsi"/>
          <w:b/>
          <w:bCs/>
          <w:sz w:val="20"/>
          <w:szCs w:val="20"/>
          <w:lang w:val="pl-PL"/>
          <w14:ligatures w14:val="none"/>
        </w:rPr>
        <w:t>9</w:t>
      </w:r>
      <w:r w:rsidRPr="00851834">
        <w:rPr>
          <w:rFonts w:asciiTheme="minorHAnsi" w:eastAsia="Times New Roman" w:hAnsiTheme="minorHAnsi" w:cstheme="minorHAnsi"/>
          <w:b/>
          <w:bCs/>
          <w:sz w:val="20"/>
          <w:szCs w:val="20"/>
          <w:lang w:val="pl-PL"/>
          <w14:ligatures w14:val="none"/>
        </w:rPr>
        <w:t>/23,</w:t>
      </w:r>
    </w:p>
    <w:p w14:paraId="1A786440" w14:textId="137A7189" w:rsidR="006B577D" w:rsidRPr="00851834" w:rsidRDefault="006B577D" w:rsidP="00851834">
      <w:pPr>
        <w:ind w:left="720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val="pl-PL"/>
          <w14:ligatures w14:val="none"/>
        </w:rPr>
      </w:pPr>
      <w:r w:rsidRPr="00851834">
        <w:rPr>
          <w:rFonts w:asciiTheme="minorHAnsi" w:eastAsia="Times New Roman" w:hAnsiTheme="minorHAnsi" w:cstheme="minorHAnsi"/>
          <w:b/>
          <w:bCs/>
          <w:sz w:val="20"/>
          <w:szCs w:val="20"/>
          <w:lang w:val="pl-PL"/>
          <w14:ligatures w14:val="none"/>
        </w:rPr>
        <w:t>pt.: „Kariera zawodowców w Naszych rękach”</w:t>
      </w:r>
    </w:p>
    <w:p w14:paraId="6F4833F1" w14:textId="17AA9D15" w:rsidR="004E5743" w:rsidRPr="00851834" w:rsidRDefault="004E5743" w:rsidP="004E5743">
      <w:pPr>
        <w:spacing w:line="36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  <w14:ligatures w14:val="none"/>
        </w:rPr>
      </w:pPr>
    </w:p>
    <w:p w14:paraId="7FC61BF2" w14:textId="22AADA8A" w:rsidR="004E5743" w:rsidRPr="00851834" w:rsidRDefault="00727441" w:rsidP="00851834">
      <w:pPr>
        <w:ind w:left="720"/>
        <w:jc w:val="center"/>
        <w:rPr>
          <w:rFonts w:asciiTheme="minorHAnsi" w:eastAsia="Times New Roman" w:hAnsiTheme="minorHAnsi" w:cstheme="minorHAnsi"/>
          <w:b/>
          <w:bCs/>
          <w:sz w:val="18"/>
          <w:szCs w:val="20"/>
          <w:lang w:val="pl-PL"/>
          <w14:ligatures w14:val="none"/>
        </w:rPr>
      </w:pPr>
      <w:r w:rsidRPr="00851834">
        <w:rPr>
          <w:rFonts w:asciiTheme="minorHAnsi" w:eastAsia="Times New Roman" w:hAnsiTheme="minorHAnsi" w:cstheme="minorHAnsi"/>
          <w:b/>
          <w:bCs/>
          <w:sz w:val="18"/>
          <w:szCs w:val="20"/>
          <w:lang w:val="pl-PL"/>
          <w14:ligatures w14:val="none"/>
        </w:rPr>
        <w:t>§</w:t>
      </w:r>
      <w:r w:rsidR="006B577D" w:rsidRPr="00851834">
        <w:rPr>
          <w:rFonts w:asciiTheme="minorHAnsi" w:eastAsia="Times New Roman" w:hAnsiTheme="minorHAnsi" w:cstheme="minorHAnsi"/>
          <w:b/>
          <w:bCs/>
          <w:sz w:val="18"/>
          <w:szCs w:val="20"/>
          <w:lang w:val="pl-PL"/>
          <w14:ligatures w14:val="none"/>
        </w:rPr>
        <w:t xml:space="preserve"> 1</w:t>
      </w:r>
    </w:p>
    <w:p w14:paraId="7D1BCABC" w14:textId="5B623EF5" w:rsidR="005168EB" w:rsidRPr="00851834" w:rsidRDefault="00863F2F" w:rsidP="00851834">
      <w:pPr>
        <w:ind w:left="720"/>
        <w:jc w:val="center"/>
        <w:rPr>
          <w:rFonts w:asciiTheme="minorHAnsi" w:eastAsia="Times New Roman" w:hAnsiTheme="minorHAnsi" w:cstheme="minorHAnsi"/>
          <w:b/>
          <w:bCs/>
          <w:sz w:val="18"/>
          <w:szCs w:val="20"/>
          <w:lang w:val="pl-PL"/>
          <w14:ligatures w14:val="none"/>
        </w:rPr>
      </w:pPr>
      <w:r w:rsidRPr="00851834">
        <w:rPr>
          <w:rFonts w:asciiTheme="minorHAnsi" w:eastAsia="Times New Roman" w:hAnsiTheme="minorHAnsi" w:cstheme="minorHAnsi"/>
          <w:b/>
          <w:bCs/>
          <w:sz w:val="18"/>
          <w:szCs w:val="20"/>
          <w:lang w:val="pl-PL"/>
          <w14:ligatures w14:val="none"/>
        </w:rPr>
        <w:t xml:space="preserve">Standardy </w:t>
      </w:r>
      <w:r w:rsidR="00462E35" w:rsidRPr="00851834">
        <w:rPr>
          <w:rFonts w:asciiTheme="minorHAnsi" w:eastAsia="Times New Roman" w:hAnsiTheme="minorHAnsi" w:cstheme="minorHAnsi"/>
          <w:b/>
          <w:bCs/>
          <w:sz w:val="18"/>
          <w:szCs w:val="20"/>
          <w:lang w:val="pl-PL"/>
          <w14:ligatures w14:val="none"/>
        </w:rPr>
        <w:t xml:space="preserve"> </w:t>
      </w:r>
      <w:r w:rsidR="00727441" w:rsidRPr="00851834">
        <w:rPr>
          <w:rFonts w:asciiTheme="minorHAnsi" w:eastAsia="Times New Roman" w:hAnsiTheme="minorHAnsi" w:cstheme="minorHAnsi"/>
          <w:b/>
          <w:bCs/>
          <w:sz w:val="18"/>
          <w:szCs w:val="20"/>
          <w:lang w:val="pl-PL"/>
          <w14:ligatures w14:val="none"/>
        </w:rPr>
        <w:t xml:space="preserve">dostępności </w:t>
      </w:r>
      <w:r w:rsidRPr="00851834">
        <w:rPr>
          <w:rFonts w:asciiTheme="minorHAnsi" w:eastAsia="Times New Roman" w:hAnsiTheme="minorHAnsi" w:cstheme="minorHAnsi"/>
          <w:b/>
          <w:bCs/>
          <w:sz w:val="18"/>
          <w:szCs w:val="20"/>
          <w:lang w:val="pl-PL"/>
          <w14:ligatures w14:val="none"/>
        </w:rPr>
        <w:t xml:space="preserve">dla polityki spójności na lata 2021-2027 zastosowane w projekcie </w:t>
      </w:r>
      <w:r w:rsidR="00462E35" w:rsidRPr="00851834">
        <w:rPr>
          <w:rFonts w:asciiTheme="minorHAnsi" w:eastAsia="Times New Roman" w:hAnsiTheme="minorHAnsi" w:cstheme="minorHAnsi"/>
          <w:b/>
          <w:bCs/>
          <w:sz w:val="18"/>
          <w:szCs w:val="20"/>
          <w:lang w:val="pl-PL"/>
          <w14:ligatures w14:val="none"/>
        </w:rPr>
        <w:t>„</w:t>
      </w:r>
      <w:bookmarkStart w:id="0" w:name="_Hlk177030407"/>
      <w:r w:rsidR="00750251" w:rsidRPr="00851834">
        <w:rPr>
          <w:rFonts w:asciiTheme="minorHAnsi" w:eastAsia="Times New Roman" w:hAnsiTheme="minorHAnsi" w:cstheme="minorHAnsi"/>
          <w:b/>
          <w:bCs/>
          <w:sz w:val="18"/>
          <w:szCs w:val="20"/>
          <w:lang w:val="pl-PL"/>
          <w14:ligatures w14:val="none"/>
        </w:rPr>
        <w:t>K</w:t>
      </w:r>
      <w:r w:rsidRPr="00851834">
        <w:rPr>
          <w:rFonts w:asciiTheme="minorHAnsi" w:eastAsia="Times New Roman" w:hAnsiTheme="minorHAnsi" w:cstheme="minorHAnsi"/>
          <w:b/>
          <w:bCs/>
          <w:sz w:val="18"/>
          <w:szCs w:val="20"/>
          <w:lang w:val="pl-PL"/>
          <w14:ligatures w14:val="none"/>
        </w:rPr>
        <w:t>ariera zawodowców w naszych rękach</w:t>
      </w:r>
      <w:bookmarkEnd w:id="0"/>
      <w:r w:rsidR="00462E35" w:rsidRPr="00851834">
        <w:rPr>
          <w:rFonts w:asciiTheme="minorHAnsi" w:eastAsia="Times New Roman" w:hAnsiTheme="minorHAnsi" w:cstheme="minorHAnsi"/>
          <w:b/>
          <w:bCs/>
          <w:sz w:val="18"/>
          <w:szCs w:val="20"/>
          <w:lang w:val="pl-PL"/>
          <w14:ligatures w14:val="none"/>
        </w:rPr>
        <w:t>”</w:t>
      </w:r>
    </w:p>
    <w:p w14:paraId="16D4ABE2" w14:textId="31A3E8F7" w:rsidR="00965827" w:rsidRPr="00851834" w:rsidRDefault="00965827" w:rsidP="00851834">
      <w:pPr>
        <w:rPr>
          <w:rFonts w:asciiTheme="minorHAnsi" w:eastAsia="Times New Roman" w:hAnsiTheme="minorHAnsi" w:cstheme="minorHAnsi"/>
          <w:sz w:val="18"/>
          <w:szCs w:val="20"/>
          <w:lang w:val="pl-PL"/>
          <w14:ligatures w14:val="none"/>
        </w:rPr>
      </w:pPr>
    </w:p>
    <w:p w14:paraId="46BF04AE" w14:textId="2F3F8FE4" w:rsidR="005168EB" w:rsidRPr="00851834" w:rsidRDefault="005168EB" w:rsidP="00851834">
      <w:pPr>
        <w:pStyle w:val="Akapitzlist"/>
        <w:numPr>
          <w:ilvl w:val="0"/>
          <w:numId w:val="10"/>
        </w:numPr>
        <w:ind w:left="641" w:hanging="357"/>
        <w:jc w:val="both"/>
        <w:rPr>
          <w:rFonts w:asciiTheme="minorHAnsi" w:eastAsia="Times New Roman" w:hAnsiTheme="minorHAnsi" w:cstheme="minorHAnsi"/>
          <w:sz w:val="18"/>
          <w:szCs w:val="20"/>
          <w:lang w:val="pl-PL"/>
          <w14:ligatures w14:val="none"/>
        </w:rPr>
      </w:pPr>
      <w:r w:rsidRPr="00851834">
        <w:rPr>
          <w:rFonts w:asciiTheme="minorHAnsi" w:eastAsia="Times New Roman" w:hAnsiTheme="minorHAnsi" w:cstheme="minorHAnsi"/>
          <w:sz w:val="18"/>
          <w:szCs w:val="20"/>
          <w:lang w:val="pl-PL"/>
          <w14:ligatures w14:val="none"/>
        </w:rPr>
        <w:t>W projekcie uwzględniono różnorodne formy przekazywania informacji, takie jak: materiały w formacie łatwym do odczytu, napisy dla osób niedosłyszących itp.</w:t>
      </w:r>
    </w:p>
    <w:p w14:paraId="7E24866E" w14:textId="5F91B958" w:rsidR="00750251" w:rsidRPr="00851834" w:rsidRDefault="00750251" w:rsidP="00851834">
      <w:pPr>
        <w:pStyle w:val="Akapitzlist"/>
        <w:numPr>
          <w:ilvl w:val="0"/>
          <w:numId w:val="10"/>
        </w:numPr>
        <w:ind w:left="641" w:hanging="357"/>
        <w:jc w:val="both"/>
        <w:rPr>
          <w:rFonts w:asciiTheme="minorHAnsi" w:eastAsia="Times New Roman" w:hAnsiTheme="minorHAnsi" w:cstheme="minorHAnsi"/>
          <w:sz w:val="18"/>
          <w:szCs w:val="20"/>
          <w:lang w:val="pl-PL"/>
          <w14:ligatures w14:val="none"/>
        </w:rPr>
      </w:pPr>
      <w:r w:rsidRPr="00851834">
        <w:rPr>
          <w:rFonts w:asciiTheme="minorHAnsi" w:eastAsia="Times New Roman" w:hAnsiTheme="minorHAnsi" w:cstheme="minorHAnsi"/>
          <w:sz w:val="18"/>
          <w:szCs w:val="20"/>
          <w:lang w:val="pl-PL"/>
          <w14:ligatures w14:val="none"/>
        </w:rPr>
        <w:t>Zarówno infrastruktura, jak i technologie są dostosowane do osób z różnymi potrzebami, m.in. osób z niepełnosprawnościami ruchowymi, sensorycznymi czy poznawczymi.</w:t>
      </w:r>
    </w:p>
    <w:p w14:paraId="67C109F2" w14:textId="0BEAB8C5" w:rsidR="005168EB" w:rsidRPr="00851834" w:rsidRDefault="005168EB" w:rsidP="00851834">
      <w:pPr>
        <w:pStyle w:val="Akapitzlist"/>
        <w:numPr>
          <w:ilvl w:val="0"/>
          <w:numId w:val="10"/>
        </w:numPr>
        <w:ind w:left="641" w:hanging="357"/>
        <w:jc w:val="both"/>
        <w:rPr>
          <w:rFonts w:asciiTheme="minorHAnsi" w:eastAsia="Times New Roman" w:hAnsiTheme="minorHAnsi" w:cstheme="minorHAnsi"/>
          <w:sz w:val="18"/>
          <w:szCs w:val="20"/>
          <w:lang w:val="pl-PL"/>
          <w14:ligatures w14:val="none"/>
        </w:rPr>
      </w:pPr>
      <w:r w:rsidRPr="00851834">
        <w:rPr>
          <w:rFonts w:asciiTheme="minorHAnsi" w:eastAsia="Times New Roman" w:hAnsiTheme="minorHAnsi" w:cstheme="minorHAnsi"/>
          <w:sz w:val="18"/>
          <w:szCs w:val="20"/>
          <w:lang w:val="pl-PL"/>
          <w14:ligatures w14:val="none"/>
        </w:rPr>
        <w:t>Strony internetowe oraz inne narzędzia cyfrowe, związane z projektem, spełniają standardy WCAG 2.1 na poziomie AA, zapewniając dostępność treści cyfrowych.</w:t>
      </w:r>
    </w:p>
    <w:p w14:paraId="7A8100D8" w14:textId="2A0AA220" w:rsidR="005168EB" w:rsidRPr="00851834" w:rsidRDefault="005168EB" w:rsidP="00851834">
      <w:pPr>
        <w:pStyle w:val="Akapitzlist"/>
        <w:numPr>
          <w:ilvl w:val="0"/>
          <w:numId w:val="10"/>
        </w:numPr>
        <w:ind w:left="641" w:hanging="357"/>
        <w:jc w:val="both"/>
        <w:rPr>
          <w:rFonts w:asciiTheme="minorHAnsi" w:eastAsia="Times New Roman" w:hAnsiTheme="minorHAnsi" w:cstheme="minorHAnsi"/>
          <w:sz w:val="18"/>
          <w:szCs w:val="20"/>
          <w:lang w:val="pl-PL"/>
          <w14:ligatures w14:val="none"/>
        </w:rPr>
      </w:pPr>
      <w:r w:rsidRPr="00851834">
        <w:rPr>
          <w:rFonts w:asciiTheme="minorHAnsi" w:eastAsia="Times New Roman" w:hAnsiTheme="minorHAnsi" w:cstheme="minorHAnsi"/>
          <w:sz w:val="18"/>
          <w:szCs w:val="20"/>
          <w:lang w:val="pl-PL"/>
          <w14:ligatures w14:val="none"/>
        </w:rPr>
        <w:t xml:space="preserve">Aby zapewnić zgodność z zasadami dostępności, szkolenia </w:t>
      </w:r>
      <w:r w:rsidR="00462E35" w:rsidRPr="00851834">
        <w:rPr>
          <w:rFonts w:asciiTheme="minorHAnsi" w:eastAsia="Times New Roman" w:hAnsiTheme="minorHAnsi" w:cstheme="minorHAnsi"/>
          <w:sz w:val="18"/>
          <w:szCs w:val="20"/>
          <w:lang w:val="pl-PL"/>
          <w14:ligatures w14:val="none"/>
        </w:rPr>
        <w:t>będą przeprowadzane tak</w:t>
      </w:r>
      <w:r w:rsidRPr="00851834">
        <w:rPr>
          <w:rFonts w:asciiTheme="minorHAnsi" w:eastAsia="Times New Roman" w:hAnsiTheme="minorHAnsi" w:cstheme="minorHAnsi"/>
          <w:sz w:val="18"/>
          <w:szCs w:val="20"/>
          <w:lang w:val="pl-PL"/>
          <w14:ligatures w14:val="none"/>
        </w:rPr>
        <w:t>, aby wszyscy członkowie projektu mieli świadomość wyzwań związanych z dostępnością oraz znali najlepsze praktyki w tym zakresie.</w:t>
      </w:r>
    </w:p>
    <w:p w14:paraId="420A669D" w14:textId="407545D6" w:rsidR="005168EB" w:rsidRPr="00851834" w:rsidRDefault="005168EB" w:rsidP="00851834">
      <w:pPr>
        <w:pStyle w:val="Akapitzlist"/>
        <w:numPr>
          <w:ilvl w:val="0"/>
          <w:numId w:val="10"/>
        </w:numPr>
        <w:ind w:left="641" w:hanging="357"/>
        <w:jc w:val="both"/>
        <w:rPr>
          <w:rFonts w:asciiTheme="minorHAnsi" w:eastAsia="Times New Roman" w:hAnsiTheme="minorHAnsi" w:cstheme="minorHAnsi"/>
          <w:sz w:val="18"/>
          <w:szCs w:val="20"/>
          <w:lang w:val="pl-PL"/>
          <w14:ligatures w14:val="none"/>
        </w:rPr>
      </w:pPr>
      <w:r w:rsidRPr="00851834">
        <w:rPr>
          <w:rFonts w:asciiTheme="minorHAnsi" w:eastAsia="Times New Roman" w:hAnsiTheme="minorHAnsi" w:cstheme="minorHAnsi"/>
          <w:sz w:val="18"/>
          <w:szCs w:val="20"/>
          <w:lang w:val="pl-PL"/>
          <w14:ligatures w14:val="none"/>
        </w:rPr>
        <w:t>W ramach wdrożenia działań informacyjnych i promocyjnych, treści b</w:t>
      </w:r>
      <w:r w:rsidR="00462E35" w:rsidRPr="00851834">
        <w:rPr>
          <w:rFonts w:asciiTheme="minorHAnsi" w:eastAsia="Times New Roman" w:hAnsiTheme="minorHAnsi" w:cstheme="minorHAnsi"/>
          <w:sz w:val="18"/>
          <w:szCs w:val="20"/>
          <w:lang w:val="pl-PL"/>
          <w14:ligatures w14:val="none"/>
        </w:rPr>
        <w:t>ędą</w:t>
      </w:r>
      <w:r w:rsidRPr="00851834">
        <w:rPr>
          <w:rFonts w:asciiTheme="minorHAnsi" w:eastAsia="Times New Roman" w:hAnsiTheme="minorHAnsi" w:cstheme="minorHAnsi"/>
          <w:sz w:val="18"/>
          <w:szCs w:val="20"/>
          <w:lang w:val="pl-PL"/>
          <w14:ligatures w14:val="none"/>
        </w:rPr>
        <w:t xml:space="preserve"> jasne, zrozumiałe i dostępne dla różnych grup odbiorców.</w:t>
      </w:r>
    </w:p>
    <w:p w14:paraId="7F5C9633" w14:textId="04812583" w:rsidR="005168EB" w:rsidRPr="00851834" w:rsidRDefault="00462E35" w:rsidP="00851834">
      <w:pPr>
        <w:pStyle w:val="Akapitzlist"/>
        <w:numPr>
          <w:ilvl w:val="0"/>
          <w:numId w:val="10"/>
        </w:numPr>
        <w:ind w:left="641" w:hanging="357"/>
        <w:jc w:val="both"/>
        <w:rPr>
          <w:rFonts w:asciiTheme="minorHAnsi" w:eastAsia="Times New Roman" w:hAnsiTheme="minorHAnsi" w:cstheme="minorHAnsi"/>
          <w:sz w:val="18"/>
          <w:szCs w:val="20"/>
          <w:lang w:val="pl-PL"/>
          <w14:ligatures w14:val="none"/>
        </w:rPr>
      </w:pPr>
      <w:r w:rsidRPr="00851834">
        <w:rPr>
          <w:rFonts w:asciiTheme="minorHAnsi" w:eastAsia="Times New Roman" w:hAnsiTheme="minorHAnsi" w:cstheme="minorHAnsi"/>
          <w:sz w:val="18"/>
          <w:szCs w:val="20"/>
          <w:lang w:val="pl-PL"/>
          <w14:ligatures w14:val="none"/>
        </w:rPr>
        <w:t>Z</w:t>
      </w:r>
      <w:r w:rsidR="005168EB" w:rsidRPr="00851834">
        <w:rPr>
          <w:rFonts w:asciiTheme="minorHAnsi" w:eastAsia="Times New Roman" w:hAnsiTheme="minorHAnsi" w:cstheme="minorHAnsi"/>
          <w:sz w:val="18"/>
          <w:szCs w:val="20"/>
          <w:lang w:val="pl-PL"/>
          <w14:ligatures w14:val="none"/>
        </w:rPr>
        <w:t>apewni</w:t>
      </w:r>
      <w:r w:rsidRPr="00851834">
        <w:rPr>
          <w:rFonts w:asciiTheme="minorHAnsi" w:eastAsia="Times New Roman" w:hAnsiTheme="minorHAnsi" w:cstheme="minorHAnsi"/>
          <w:sz w:val="18"/>
          <w:szCs w:val="20"/>
          <w:lang w:val="pl-PL"/>
          <w14:ligatures w14:val="none"/>
        </w:rPr>
        <w:t>ona zostanie</w:t>
      </w:r>
      <w:r w:rsidR="005168EB" w:rsidRPr="00851834">
        <w:rPr>
          <w:rFonts w:asciiTheme="minorHAnsi" w:eastAsia="Times New Roman" w:hAnsiTheme="minorHAnsi" w:cstheme="minorHAnsi"/>
          <w:sz w:val="18"/>
          <w:szCs w:val="20"/>
          <w:lang w:val="pl-PL"/>
          <w14:ligatures w14:val="none"/>
        </w:rPr>
        <w:t xml:space="preserve"> dostępność przestrzeni dla osób z niepełnosprawnościami poprzez m.in. odpowiednie oznakowanie, dostępne podjazdy</w:t>
      </w:r>
      <w:r w:rsidRPr="00851834">
        <w:rPr>
          <w:rFonts w:asciiTheme="minorHAnsi" w:eastAsia="Times New Roman" w:hAnsiTheme="minorHAnsi" w:cstheme="minorHAnsi"/>
          <w:sz w:val="18"/>
          <w:szCs w:val="20"/>
          <w:lang w:val="pl-PL"/>
          <w14:ligatures w14:val="none"/>
        </w:rPr>
        <w:t xml:space="preserve"> </w:t>
      </w:r>
      <w:r w:rsidR="00851834">
        <w:rPr>
          <w:rFonts w:asciiTheme="minorHAnsi" w:eastAsia="Times New Roman" w:hAnsiTheme="minorHAnsi" w:cstheme="minorHAnsi"/>
          <w:sz w:val="18"/>
          <w:szCs w:val="20"/>
          <w:lang w:val="pl-PL"/>
          <w14:ligatures w14:val="none"/>
        </w:rPr>
        <w:t>itp.</w:t>
      </w:r>
    </w:p>
    <w:p w14:paraId="44484A83" w14:textId="5C05D8FC" w:rsidR="005168EB" w:rsidRPr="00851834" w:rsidRDefault="005168EB" w:rsidP="00851834">
      <w:pPr>
        <w:pStyle w:val="Akapitzlist"/>
        <w:numPr>
          <w:ilvl w:val="0"/>
          <w:numId w:val="10"/>
        </w:numPr>
        <w:ind w:left="641" w:hanging="357"/>
        <w:jc w:val="both"/>
        <w:rPr>
          <w:rFonts w:asciiTheme="minorHAnsi" w:eastAsia="Times New Roman" w:hAnsiTheme="minorHAnsi" w:cstheme="minorHAnsi"/>
          <w:sz w:val="18"/>
          <w:szCs w:val="20"/>
          <w:lang w:val="pl-PL"/>
          <w14:ligatures w14:val="none"/>
        </w:rPr>
      </w:pPr>
      <w:r w:rsidRPr="00851834">
        <w:rPr>
          <w:rFonts w:asciiTheme="minorHAnsi" w:eastAsia="Times New Roman" w:hAnsiTheme="minorHAnsi" w:cstheme="minorHAnsi"/>
          <w:sz w:val="18"/>
          <w:szCs w:val="20"/>
          <w:lang w:val="pl-PL"/>
          <w14:ligatures w14:val="none"/>
        </w:rPr>
        <w:t>Zastosowa</w:t>
      </w:r>
      <w:r w:rsidR="00462E35" w:rsidRPr="00851834">
        <w:rPr>
          <w:rFonts w:asciiTheme="minorHAnsi" w:eastAsia="Times New Roman" w:hAnsiTheme="minorHAnsi" w:cstheme="minorHAnsi"/>
          <w:sz w:val="18"/>
          <w:szCs w:val="20"/>
          <w:lang w:val="pl-PL"/>
          <w14:ligatures w14:val="none"/>
        </w:rPr>
        <w:t>ne zostaną odpowiednie</w:t>
      </w:r>
      <w:r w:rsidRPr="00851834">
        <w:rPr>
          <w:rFonts w:asciiTheme="minorHAnsi" w:eastAsia="Times New Roman" w:hAnsiTheme="minorHAnsi" w:cstheme="minorHAnsi"/>
          <w:sz w:val="18"/>
          <w:szCs w:val="20"/>
          <w:lang w:val="pl-PL"/>
          <w14:ligatures w14:val="none"/>
        </w:rPr>
        <w:t xml:space="preserve"> procedury monitorowania dostępności w trakcie realizacji projektu</w:t>
      </w:r>
      <w:r w:rsidR="00462E35" w:rsidRPr="00851834">
        <w:rPr>
          <w:rFonts w:asciiTheme="minorHAnsi" w:eastAsia="Times New Roman" w:hAnsiTheme="minorHAnsi" w:cstheme="minorHAnsi"/>
          <w:sz w:val="18"/>
          <w:szCs w:val="20"/>
          <w:lang w:val="pl-PL"/>
          <w14:ligatures w14:val="none"/>
        </w:rPr>
        <w:t>.</w:t>
      </w:r>
    </w:p>
    <w:p w14:paraId="4FADF0A6" w14:textId="3732CC24" w:rsidR="00965827" w:rsidRDefault="005168EB" w:rsidP="00851834">
      <w:pPr>
        <w:pStyle w:val="Akapitzlist"/>
        <w:numPr>
          <w:ilvl w:val="0"/>
          <w:numId w:val="10"/>
        </w:numPr>
        <w:ind w:left="641" w:hanging="357"/>
        <w:jc w:val="both"/>
        <w:rPr>
          <w:rFonts w:asciiTheme="minorHAnsi" w:eastAsia="Times New Roman" w:hAnsiTheme="minorHAnsi" w:cstheme="minorHAnsi"/>
          <w:sz w:val="18"/>
          <w:szCs w:val="20"/>
          <w:lang w:val="pl-PL"/>
          <w14:ligatures w14:val="none"/>
        </w:rPr>
      </w:pPr>
      <w:r w:rsidRPr="00851834">
        <w:rPr>
          <w:rFonts w:asciiTheme="minorHAnsi" w:eastAsia="Times New Roman" w:hAnsiTheme="minorHAnsi" w:cstheme="minorHAnsi"/>
          <w:sz w:val="18"/>
          <w:szCs w:val="20"/>
          <w:lang w:val="pl-PL"/>
          <w14:ligatures w14:val="none"/>
        </w:rPr>
        <w:t>Wykorzysta</w:t>
      </w:r>
      <w:r w:rsidR="00462E35" w:rsidRPr="00851834">
        <w:rPr>
          <w:rFonts w:asciiTheme="minorHAnsi" w:eastAsia="Times New Roman" w:hAnsiTheme="minorHAnsi" w:cstheme="minorHAnsi"/>
          <w:sz w:val="18"/>
          <w:szCs w:val="20"/>
          <w:lang w:val="pl-PL"/>
          <w14:ligatures w14:val="none"/>
        </w:rPr>
        <w:t>ne zostaną</w:t>
      </w:r>
      <w:r w:rsidRPr="00851834">
        <w:rPr>
          <w:rFonts w:asciiTheme="minorHAnsi" w:eastAsia="Times New Roman" w:hAnsiTheme="minorHAnsi" w:cstheme="minorHAnsi"/>
          <w:sz w:val="18"/>
          <w:szCs w:val="20"/>
          <w:lang w:val="pl-PL"/>
          <w14:ligatures w14:val="none"/>
        </w:rPr>
        <w:t xml:space="preserve"> nowoczesne technologie wspomagające, takie jak czytniki ekranowe, </w:t>
      </w:r>
      <w:r w:rsidR="00462E35" w:rsidRPr="00851834">
        <w:rPr>
          <w:rFonts w:asciiTheme="minorHAnsi" w:eastAsia="Times New Roman" w:hAnsiTheme="minorHAnsi" w:cstheme="minorHAnsi"/>
          <w:sz w:val="18"/>
          <w:szCs w:val="20"/>
          <w:lang w:val="pl-PL"/>
          <w14:ligatures w14:val="none"/>
        </w:rPr>
        <w:t xml:space="preserve">odpowiednie </w:t>
      </w:r>
      <w:r w:rsidRPr="00851834">
        <w:rPr>
          <w:rFonts w:asciiTheme="minorHAnsi" w:eastAsia="Times New Roman" w:hAnsiTheme="minorHAnsi" w:cstheme="minorHAnsi"/>
          <w:sz w:val="18"/>
          <w:szCs w:val="20"/>
          <w:lang w:val="pl-PL"/>
          <w14:ligatures w14:val="none"/>
        </w:rPr>
        <w:t>oprogramowanie rozpoznające mowę czy narzędzia do powiększania tekstu, które umożliwiają dostęp do informacji i usług osobom o różnych potrzebach</w:t>
      </w:r>
      <w:r w:rsidR="00462E35" w:rsidRPr="00851834">
        <w:rPr>
          <w:rFonts w:asciiTheme="minorHAnsi" w:eastAsia="Times New Roman" w:hAnsiTheme="minorHAnsi" w:cstheme="minorHAnsi"/>
          <w:sz w:val="18"/>
          <w:szCs w:val="20"/>
          <w:lang w:val="pl-PL"/>
          <w14:ligatures w14:val="none"/>
        </w:rPr>
        <w:t xml:space="preserve"> – jeśli takowe będą wymagane</w:t>
      </w:r>
    </w:p>
    <w:p w14:paraId="32CE5539" w14:textId="77777777" w:rsidR="00851834" w:rsidRPr="00851834" w:rsidRDefault="00851834" w:rsidP="00851834">
      <w:pPr>
        <w:pStyle w:val="Akapitzlist"/>
        <w:ind w:left="641"/>
        <w:rPr>
          <w:rFonts w:asciiTheme="minorHAnsi" w:eastAsia="Times New Roman" w:hAnsiTheme="minorHAnsi" w:cstheme="minorHAnsi"/>
          <w:sz w:val="18"/>
          <w:szCs w:val="20"/>
          <w:lang w:val="pl-PL"/>
          <w14:ligatures w14:val="none"/>
        </w:rPr>
      </w:pPr>
    </w:p>
    <w:p w14:paraId="195873CF" w14:textId="1A1B36B9" w:rsidR="00965827" w:rsidRPr="00851834" w:rsidRDefault="00965827" w:rsidP="00851834">
      <w:pPr>
        <w:ind w:left="720"/>
        <w:jc w:val="center"/>
        <w:rPr>
          <w:rFonts w:asciiTheme="minorHAnsi" w:eastAsia="Times New Roman" w:hAnsiTheme="minorHAnsi" w:cstheme="minorHAnsi"/>
          <w:b/>
          <w:bCs/>
          <w:sz w:val="18"/>
          <w:szCs w:val="20"/>
          <w:lang w:val="pl-PL"/>
          <w14:ligatures w14:val="none"/>
        </w:rPr>
      </w:pPr>
      <w:r w:rsidRPr="00851834">
        <w:rPr>
          <w:rFonts w:asciiTheme="minorHAnsi" w:eastAsia="Times New Roman" w:hAnsiTheme="minorHAnsi" w:cstheme="minorHAnsi"/>
          <w:b/>
          <w:bCs/>
          <w:sz w:val="18"/>
          <w:szCs w:val="20"/>
          <w:lang w:val="pl-PL"/>
          <w14:ligatures w14:val="none"/>
        </w:rPr>
        <w:t>§ 2</w:t>
      </w:r>
    </w:p>
    <w:p w14:paraId="13EDD2FC" w14:textId="1F92F937" w:rsidR="00965827" w:rsidRPr="00851834" w:rsidRDefault="00965827" w:rsidP="00851834">
      <w:pPr>
        <w:ind w:firstLine="284"/>
        <w:jc w:val="center"/>
        <w:rPr>
          <w:rFonts w:asciiTheme="minorHAnsi" w:hAnsiTheme="minorHAnsi" w:cstheme="minorHAnsi"/>
          <w:b/>
          <w:bCs/>
          <w:sz w:val="18"/>
          <w:szCs w:val="20"/>
          <w:lang w:val="pl-PL"/>
        </w:rPr>
      </w:pPr>
      <w:r w:rsidRPr="00851834">
        <w:rPr>
          <w:rFonts w:asciiTheme="minorHAnsi" w:hAnsiTheme="minorHAnsi" w:cstheme="minorHAnsi"/>
          <w:b/>
          <w:bCs/>
          <w:sz w:val="18"/>
          <w:szCs w:val="20"/>
          <w:lang w:val="pl-PL"/>
        </w:rPr>
        <w:t>Realizacja zasad horyzontalnych w projekcie „</w:t>
      </w:r>
      <w:r w:rsidR="00750251" w:rsidRPr="00851834">
        <w:rPr>
          <w:rFonts w:asciiTheme="minorHAnsi" w:eastAsia="Times New Roman" w:hAnsiTheme="minorHAnsi" w:cstheme="minorHAnsi"/>
          <w:b/>
          <w:bCs/>
          <w:sz w:val="18"/>
          <w:szCs w:val="20"/>
          <w:lang w:val="pl-PL"/>
          <w14:ligatures w14:val="none"/>
        </w:rPr>
        <w:t>Kariera zawodowców w naszych rękach</w:t>
      </w:r>
      <w:r w:rsidR="005C0923">
        <w:rPr>
          <w:rFonts w:asciiTheme="minorHAnsi" w:eastAsia="Times New Roman" w:hAnsiTheme="minorHAnsi" w:cstheme="minorHAnsi"/>
          <w:b/>
          <w:bCs/>
          <w:sz w:val="18"/>
          <w:szCs w:val="20"/>
          <w:lang w:val="pl-PL"/>
          <w14:ligatures w14:val="none"/>
        </w:rPr>
        <w:t>”</w:t>
      </w:r>
      <w:r w:rsidRPr="00851834">
        <w:rPr>
          <w:rFonts w:asciiTheme="minorHAnsi" w:hAnsiTheme="minorHAnsi" w:cstheme="minorHAnsi"/>
          <w:b/>
          <w:bCs/>
          <w:sz w:val="18"/>
          <w:szCs w:val="20"/>
          <w:lang w:val="pl-PL"/>
        </w:rPr>
        <w:t>:</w:t>
      </w:r>
    </w:p>
    <w:p w14:paraId="25C3BF4D" w14:textId="77777777" w:rsidR="00965827" w:rsidRPr="00851834" w:rsidRDefault="00965827" w:rsidP="00851834">
      <w:pPr>
        <w:rPr>
          <w:sz w:val="18"/>
          <w:szCs w:val="20"/>
          <w:lang w:val="pl-PL"/>
        </w:rPr>
      </w:pPr>
    </w:p>
    <w:p w14:paraId="68DD50C2" w14:textId="77777777" w:rsidR="00851834" w:rsidRDefault="00965827" w:rsidP="00851834">
      <w:pPr>
        <w:ind w:left="284"/>
        <w:rPr>
          <w:sz w:val="18"/>
          <w:szCs w:val="20"/>
          <w:lang w:val="pl-PL"/>
        </w:rPr>
      </w:pPr>
      <w:r w:rsidRPr="00851834">
        <w:rPr>
          <w:sz w:val="18"/>
          <w:szCs w:val="20"/>
          <w:lang w:val="pl-PL"/>
        </w:rPr>
        <w:t xml:space="preserve">Podczas realizacji projektu zarówno </w:t>
      </w:r>
      <w:r w:rsidR="00851834">
        <w:rPr>
          <w:sz w:val="18"/>
          <w:szCs w:val="20"/>
          <w:lang w:val="pl-PL"/>
        </w:rPr>
        <w:t>Lider</w:t>
      </w:r>
      <w:r w:rsidRPr="00851834">
        <w:rPr>
          <w:sz w:val="18"/>
          <w:szCs w:val="20"/>
          <w:lang w:val="pl-PL"/>
        </w:rPr>
        <w:t xml:space="preserve">, Partner jak i Uczestnicy muszą przestrzegać zasad horyzontalnych o których mowa w art. 9 rozporządzenia ogólnego. </w:t>
      </w:r>
    </w:p>
    <w:p w14:paraId="1E9C652A" w14:textId="77777777" w:rsidR="00851834" w:rsidRDefault="00851834" w:rsidP="00851834">
      <w:pPr>
        <w:ind w:left="284"/>
        <w:rPr>
          <w:sz w:val="18"/>
          <w:szCs w:val="20"/>
          <w:lang w:val="pl-PL"/>
        </w:rPr>
      </w:pPr>
    </w:p>
    <w:p w14:paraId="15BBB6BD" w14:textId="3AB4DCCA" w:rsidR="00851834" w:rsidRPr="00851834" w:rsidRDefault="00965827" w:rsidP="0034753E">
      <w:pPr>
        <w:ind w:left="284"/>
        <w:rPr>
          <w:sz w:val="18"/>
          <w:szCs w:val="20"/>
          <w:lang w:val="pl-PL"/>
        </w:rPr>
      </w:pPr>
      <w:r w:rsidRPr="00851834">
        <w:rPr>
          <w:sz w:val="18"/>
          <w:szCs w:val="20"/>
          <w:lang w:val="pl-PL"/>
        </w:rPr>
        <w:t xml:space="preserve">Realizowany projekt musi być zgodny z następującymi zasadami: </w:t>
      </w:r>
    </w:p>
    <w:p w14:paraId="79B6C670" w14:textId="38A3FEEF" w:rsidR="00851834" w:rsidRPr="0034753E" w:rsidRDefault="00965827" w:rsidP="0034753E">
      <w:pPr>
        <w:pStyle w:val="Akapitzlist"/>
        <w:numPr>
          <w:ilvl w:val="0"/>
          <w:numId w:val="13"/>
        </w:numPr>
        <w:rPr>
          <w:b/>
          <w:bCs/>
          <w:sz w:val="18"/>
          <w:szCs w:val="20"/>
          <w:lang w:val="pl-PL"/>
        </w:rPr>
      </w:pPr>
      <w:r w:rsidRPr="0034753E">
        <w:rPr>
          <w:b/>
          <w:bCs/>
          <w:sz w:val="18"/>
          <w:szCs w:val="20"/>
          <w:lang w:val="pl-PL"/>
        </w:rPr>
        <w:t xml:space="preserve">zasadą równości kobiet i mężczyzn; </w:t>
      </w:r>
      <w:r w:rsidR="00851834" w:rsidRPr="0034753E">
        <w:rPr>
          <w:b/>
          <w:bCs/>
          <w:sz w:val="18"/>
          <w:szCs w:val="20"/>
          <w:lang w:val="pl-PL"/>
        </w:rPr>
        <w:t xml:space="preserve"> </w:t>
      </w:r>
    </w:p>
    <w:p w14:paraId="66841351" w14:textId="77777777" w:rsidR="0034753E" w:rsidRDefault="0034753E" w:rsidP="0034753E">
      <w:pPr>
        <w:ind w:left="1134"/>
        <w:jc w:val="both"/>
        <w:rPr>
          <w:b/>
          <w:bCs/>
          <w:sz w:val="18"/>
          <w:szCs w:val="20"/>
          <w:lang w:val="pl-PL"/>
        </w:rPr>
      </w:pPr>
      <w:r w:rsidRPr="00851834">
        <w:rPr>
          <w:sz w:val="18"/>
          <w:szCs w:val="20"/>
          <w:lang w:val="pl-PL"/>
          <w14:ligatures w14:val="none"/>
        </w:rPr>
        <w:t>W ramach projektu podejmowane będą działania, które mają na celu promowanie równości płci, w szczególności poprzez zapewnienie równego dostępu do szkoleń, warsztatów i innych form wsparcia przewidzianych w projekcie na równym poziomie dla kobiet i mężczyzn</w:t>
      </w:r>
    </w:p>
    <w:p w14:paraId="5719635D" w14:textId="77777777" w:rsidR="0034753E" w:rsidRDefault="0034753E" w:rsidP="0034753E">
      <w:pPr>
        <w:ind w:left="1134"/>
        <w:jc w:val="both"/>
        <w:rPr>
          <w:b/>
          <w:bCs/>
          <w:sz w:val="18"/>
          <w:szCs w:val="20"/>
          <w:lang w:val="pl-PL"/>
        </w:rPr>
      </w:pPr>
    </w:p>
    <w:p w14:paraId="6A067E47" w14:textId="73E5EF47" w:rsidR="00965827" w:rsidRPr="0034753E" w:rsidRDefault="00965827" w:rsidP="0034753E">
      <w:pPr>
        <w:pStyle w:val="Akapitzlist"/>
        <w:numPr>
          <w:ilvl w:val="0"/>
          <w:numId w:val="13"/>
        </w:numPr>
        <w:jc w:val="both"/>
        <w:rPr>
          <w:b/>
          <w:bCs/>
          <w:sz w:val="18"/>
          <w:szCs w:val="20"/>
          <w:lang w:val="pl-PL"/>
        </w:rPr>
      </w:pPr>
      <w:r w:rsidRPr="0034753E">
        <w:rPr>
          <w:b/>
          <w:bCs/>
          <w:sz w:val="18"/>
          <w:szCs w:val="20"/>
          <w:lang w:val="pl-PL"/>
        </w:rPr>
        <w:t xml:space="preserve">zasadą równości szans i niedyskryminacji, w tym dostępności dla osób z niepełnosprawnością; </w:t>
      </w:r>
    </w:p>
    <w:p w14:paraId="162753AB" w14:textId="77777777" w:rsidR="00965827" w:rsidRPr="00851834" w:rsidRDefault="00965827" w:rsidP="0034753E">
      <w:pPr>
        <w:ind w:left="1134"/>
        <w:jc w:val="both"/>
        <w:rPr>
          <w:sz w:val="18"/>
          <w:szCs w:val="20"/>
          <w:lang w:val="pl-PL"/>
          <w14:ligatures w14:val="none"/>
        </w:rPr>
      </w:pPr>
      <w:r w:rsidRPr="00851834">
        <w:rPr>
          <w:sz w:val="18"/>
          <w:szCs w:val="20"/>
          <w:lang w:val="pl-PL"/>
          <w14:ligatures w14:val="none"/>
        </w:rPr>
        <w:t>W procesie rekrutacji oraz w trakcie uczestnictwa w projekcie, żaden uczestnik nie może być dyskryminowany ani traktowany w sposób mniej korzystny z jakichkolwiek przyczyn. Każdy uczestnik ma prawo do równego traktowania na każdym etapie realizacji projektu. Projekt przewiduje możliwość dostosowania form wsparcia do indywidualnych potrzeb uczestników, w szczególności dla osób z niepełnosprawnościami, w celu zapewnienia pełnego i równego dostępu do wszystkich działań i zasobów projektu</w:t>
      </w:r>
    </w:p>
    <w:p w14:paraId="7DC193D8" w14:textId="77777777" w:rsidR="00965827" w:rsidRPr="00851834" w:rsidRDefault="00965827" w:rsidP="00851834">
      <w:pPr>
        <w:ind w:left="284"/>
        <w:rPr>
          <w:sz w:val="18"/>
          <w:szCs w:val="20"/>
          <w:lang w:val="pl-PL"/>
        </w:rPr>
      </w:pPr>
    </w:p>
    <w:p w14:paraId="0651C5AD" w14:textId="5D506FD9" w:rsidR="00965827" w:rsidRPr="0034753E" w:rsidRDefault="00965827" w:rsidP="0034753E">
      <w:pPr>
        <w:pStyle w:val="Akapitzlist"/>
        <w:numPr>
          <w:ilvl w:val="0"/>
          <w:numId w:val="13"/>
        </w:numPr>
        <w:rPr>
          <w:b/>
          <w:bCs/>
          <w:sz w:val="18"/>
          <w:szCs w:val="20"/>
          <w:lang w:val="pl-PL"/>
        </w:rPr>
      </w:pPr>
      <w:r w:rsidRPr="0034753E">
        <w:rPr>
          <w:b/>
          <w:bCs/>
          <w:sz w:val="18"/>
          <w:szCs w:val="20"/>
          <w:lang w:val="pl-PL"/>
        </w:rPr>
        <w:t>zasadą zrównoważonego rozwoju, w tym zasadą „nie czyń poważnych szkód” (DNSH)</w:t>
      </w:r>
    </w:p>
    <w:p w14:paraId="0A19293C" w14:textId="77777777" w:rsidR="00965827" w:rsidRPr="00851834" w:rsidRDefault="00965827" w:rsidP="0034753E">
      <w:pPr>
        <w:ind w:left="1134"/>
        <w:jc w:val="both"/>
        <w:rPr>
          <w:sz w:val="18"/>
          <w:szCs w:val="20"/>
          <w:lang w:val="pl-PL"/>
        </w:rPr>
      </w:pPr>
      <w:r w:rsidRPr="00851834">
        <w:rPr>
          <w:sz w:val="18"/>
          <w:szCs w:val="20"/>
          <w:lang w:val="pl-PL"/>
          <w14:ligatures w14:val="none"/>
        </w:rPr>
        <w:t>Wszystkie działania muszą uwzględniać równość płci i przeciwdziałanie dyskryminacji, zapewniając równy dostęp do projektu uczniom i nauczycielom niezależnie od płci, pochodzenia czy statusu społecznego.</w:t>
      </w:r>
      <w:r w:rsidRPr="00851834">
        <w:rPr>
          <w:sz w:val="18"/>
          <w:szCs w:val="20"/>
          <w:lang w:val="pl-PL"/>
        </w:rPr>
        <w:t xml:space="preserve"> zasada zrównoważonego rozwoju wymaga, aby wszystkie działania były prowadzone w sposób minimalizujący negatywny wpływ na środowisko naturalne. Zasada „nie czyń poważnych szkód” (DNSH – </w:t>
      </w:r>
      <w:r w:rsidRPr="00851834">
        <w:rPr>
          <w:rStyle w:val="Pogrubienie"/>
          <w:sz w:val="18"/>
          <w:szCs w:val="20"/>
          <w:lang w:val="pl-PL"/>
        </w:rPr>
        <w:t>Do No Significant Harm</w:t>
      </w:r>
      <w:r w:rsidRPr="00851834">
        <w:rPr>
          <w:sz w:val="18"/>
          <w:szCs w:val="20"/>
          <w:lang w:val="pl-PL"/>
        </w:rPr>
        <w:t>) zobowiązuje do tego, aby żadne podejmowane działania w projekcie nie powodowały poważnych szkód dla celów środowiskowych, takich jak ochrona ekosystemów, zmniejszanie emisji gazów cieplarnianych, efektywne gospodarowanie zasobami czy ochrona bioróżnorodności. Beneficjent, partnerzy oraz uczestnicy projektu muszą zatem dbać o to, aby realizowane formy wsparcia i działania były zgodne z tymi standardami, promując odpowiedzialność ekologiczną i wspierając zrównoważony rozwój</w:t>
      </w:r>
    </w:p>
    <w:p w14:paraId="024F9CCC" w14:textId="77777777" w:rsidR="00965827" w:rsidRPr="00851834" w:rsidRDefault="00965827" w:rsidP="00851834">
      <w:pPr>
        <w:ind w:left="284"/>
        <w:rPr>
          <w:sz w:val="18"/>
          <w:szCs w:val="20"/>
          <w:lang w:val="pl-PL"/>
        </w:rPr>
      </w:pPr>
    </w:p>
    <w:p w14:paraId="433EE1DA" w14:textId="08C08BD0" w:rsidR="00965827" w:rsidRPr="0034753E" w:rsidRDefault="00965827" w:rsidP="0034753E">
      <w:pPr>
        <w:pStyle w:val="Akapitzlist"/>
        <w:numPr>
          <w:ilvl w:val="0"/>
          <w:numId w:val="13"/>
        </w:numPr>
        <w:rPr>
          <w:b/>
          <w:bCs/>
          <w:sz w:val="18"/>
          <w:szCs w:val="20"/>
          <w:lang w:val="pl-PL"/>
        </w:rPr>
      </w:pPr>
      <w:r w:rsidRPr="0034753E">
        <w:rPr>
          <w:b/>
          <w:bCs/>
          <w:sz w:val="18"/>
          <w:szCs w:val="20"/>
          <w:lang w:val="pl-PL"/>
        </w:rPr>
        <w:t>Kartą Praw Podstawowych Unii Europejskiej z dnia 26 października 2012 r.;</w:t>
      </w:r>
    </w:p>
    <w:p w14:paraId="5E6B3453" w14:textId="77777777" w:rsidR="00965827" w:rsidRPr="00851834" w:rsidRDefault="00965827" w:rsidP="0034753E">
      <w:pPr>
        <w:ind w:left="1134"/>
        <w:jc w:val="both"/>
        <w:rPr>
          <w:sz w:val="18"/>
          <w:szCs w:val="20"/>
          <w:lang w:val="pl-PL"/>
        </w:rPr>
      </w:pPr>
      <w:r w:rsidRPr="00851834">
        <w:rPr>
          <w:sz w:val="18"/>
          <w:szCs w:val="20"/>
          <w:lang w:val="pl-PL"/>
        </w:rPr>
        <w:t>Zgodnie z Kartą Praw Podstawowych Unii Europejskiej, projekt być realizowany z pełnym poszanowaniem praw podstawowych, takich jak godność człowieka, wolność, równość i solidarność. W kontekście zasady horyzontalnej, Karta zapewnia, że wszyscy uczestnicy projektu będą traktowani z poszanowaniem ich podstawowych praw, co obejmuje równość szans, brak dyskryminacji oraz ochronę prywatności i tożsamości. Projekt musi promować dostęp do wsparcia bez względu na płeć, pochodzenie, niepełnosprawność czy inne cechy osobiste, zgodnie z zasadą równości i niedyskryminacji.</w:t>
      </w:r>
    </w:p>
    <w:p w14:paraId="51C3339C" w14:textId="77777777" w:rsidR="00965827" w:rsidRPr="00851834" w:rsidRDefault="00965827" w:rsidP="00851834">
      <w:pPr>
        <w:ind w:left="284"/>
        <w:rPr>
          <w:sz w:val="18"/>
          <w:szCs w:val="20"/>
          <w:lang w:val="pl-PL"/>
        </w:rPr>
      </w:pPr>
    </w:p>
    <w:p w14:paraId="489FD13F" w14:textId="2B5B8BE5" w:rsidR="00965827" w:rsidRPr="0034753E" w:rsidRDefault="00965827" w:rsidP="0034753E">
      <w:pPr>
        <w:pStyle w:val="Akapitzlist"/>
        <w:numPr>
          <w:ilvl w:val="0"/>
          <w:numId w:val="13"/>
        </w:numPr>
        <w:rPr>
          <w:b/>
          <w:bCs/>
          <w:sz w:val="18"/>
          <w:szCs w:val="20"/>
          <w:lang w:val="pl-PL"/>
        </w:rPr>
      </w:pPr>
      <w:r w:rsidRPr="0034753E">
        <w:rPr>
          <w:b/>
          <w:bCs/>
          <w:sz w:val="18"/>
          <w:szCs w:val="20"/>
          <w:lang w:val="pl-PL"/>
        </w:rPr>
        <w:t xml:space="preserve">Konwencją o Prawach Osób Niepełnosprawnych sporządzoną w Nowym Jorku dnia 13 grudnia 2006 r. (w szczególności praw ujętych w art. 5–9, art. 12, art. 16, art. 19–21, art. 24–30). </w:t>
      </w:r>
    </w:p>
    <w:p w14:paraId="362B351B" w14:textId="77777777" w:rsidR="00965827" w:rsidRPr="00851834" w:rsidRDefault="00965827" w:rsidP="0034753E">
      <w:pPr>
        <w:ind w:left="1134"/>
        <w:rPr>
          <w:sz w:val="18"/>
          <w:szCs w:val="20"/>
          <w:lang w:val="pl-PL"/>
        </w:rPr>
      </w:pPr>
      <w:r w:rsidRPr="00851834">
        <w:rPr>
          <w:sz w:val="18"/>
          <w:szCs w:val="20"/>
          <w:lang w:val="pl-PL"/>
        </w:rPr>
        <w:t>W odniesieniu do Konwencji o Prawach Osób Niepełnosprawnych, projekt zobowiązuje się do zapewnienia pełnego włączenia i uczestnictwa osób z niepełnosprawnościami na równi z innymi uczestnikami. Zasada horyzontalna uwzględnia art. 5–9 oraz 12, 16, 19–30 Konwencji, które kładą nacisk na niedyskryminację, dostępność, wsparcie w niezależnym życiu oraz równy dostęp do edukacji i zatrudnienia. Działania projektowe będą dostosowane do indywidualnych potrzeb osób z niepełnosprawnościami, aby umożliwić im pełne uczestnictwo w projektowych formach wsparcia, takich jak szkolenia i warsztaty, zgodnie z zasadą równości szans</w:t>
      </w:r>
    </w:p>
    <w:p w14:paraId="32A110C5" w14:textId="77777777" w:rsidR="00965827" w:rsidRPr="00851834" w:rsidRDefault="00965827" w:rsidP="00851834">
      <w:pPr>
        <w:ind w:left="284"/>
        <w:rPr>
          <w:sz w:val="18"/>
          <w:szCs w:val="20"/>
          <w:lang w:val="pl-PL"/>
          <w14:ligatures w14:val="none"/>
        </w:rPr>
      </w:pPr>
    </w:p>
    <w:p w14:paraId="47870D3F" w14:textId="77777777" w:rsidR="0034753E" w:rsidRDefault="00965827" w:rsidP="00851834">
      <w:pPr>
        <w:ind w:left="284"/>
        <w:rPr>
          <w:sz w:val="18"/>
          <w:szCs w:val="20"/>
          <w:lang w:val="pl-PL"/>
          <w14:ligatures w14:val="none"/>
        </w:rPr>
      </w:pPr>
      <w:r w:rsidRPr="00851834">
        <w:rPr>
          <w:sz w:val="18"/>
          <w:szCs w:val="20"/>
          <w:lang w:val="pl-PL"/>
          <w14:ligatures w14:val="none"/>
        </w:rPr>
        <w:t xml:space="preserve">Przestrzeganie zasady horyzontalnej będzie monitorowane na każdym etapie realizacji projektu: </w:t>
      </w:r>
    </w:p>
    <w:p w14:paraId="0FFC9143" w14:textId="77777777" w:rsidR="0034753E" w:rsidRDefault="00965827" w:rsidP="0034753E">
      <w:pPr>
        <w:pStyle w:val="Akapitzlist"/>
        <w:numPr>
          <w:ilvl w:val="0"/>
          <w:numId w:val="13"/>
        </w:numPr>
        <w:rPr>
          <w:sz w:val="18"/>
          <w:szCs w:val="20"/>
          <w:lang w:val="pl-PL"/>
        </w:rPr>
      </w:pPr>
      <w:r w:rsidRPr="0034753E">
        <w:rPr>
          <w:sz w:val="18"/>
          <w:szCs w:val="20"/>
          <w:lang w:val="pl-PL"/>
        </w:rPr>
        <w:t xml:space="preserve">przygotowywania, </w:t>
      </w:r>
    </w:p>
    <w:p w14:paraId="05E04537" w14:textId="77777777" w:rsidR="0034753E" w:rsidRDefault="00965827" w:rsidP="0034753E">
      <w:pPr>
        <w:pStyle w:val="Akapitzlist"/>
        <w:numPr>
          <w:ilvl w:val="0"/>
          <w:numId w:val="13"/>
        </w:numPr>
        <w:rPr>
          <w:sz w:val="18"/>
          <w:szCs w:val="20"/>
          <w:lang w:val="pl-PL"/>
        </w:rPr>
      </w:pPr>
      <w:r w:rsidRPr="0034753E">
        <w:rPr>
          <w:sz w:val="18"/>
          <w:szCs w:val="20"/>
          <w:lang w:val="pl-PL"/>
        </w:rPr>
        <w:t xml:space="preserve">wdrażania, </w:t>
      </w:r>
    </w:p>
    <w:p w14:paraId="369B8A4B" w14:textId="77777777" w:rsidR="0034753E" w:rsidRDefault="00965827" w:rsidP="0034753E">
      <w:pPr>
        <w:pStyle w:val="Akapitzlist"/>
        <w:numPr>
          <w:ilvl w:val="0"/>
          <w:numId w:val="13"/>
        </w:numPr>
        <w:rPr>
          <w:sz w:val="18"/>
          <w:szCs w:val="20"/>
          <w:lang w:val="pl-PL"/>
        </w:rPr>
      </w:pPr>
      <w:r w:rsidRPr="0034753E">
        <w:rPr>
          <w:sz w:val="18"/>
          <w:szCs w:val="20"/>
          <w:lang w:val="pl-PL"/>
        </w:rPr>
        <w:t xml:space="preserve">monitorowania, </w:t>
      </w:r>
    </w:p>
    <w:p w14:paraId="2D8A1D37" w14:textId="77777777" w:rsidR="0034753E" w:rsidRPr="0034753E" w:rsidRDefault="00965827" w:rsidP="0034753E">
      <w:pPr>
        <w:pStyle w:val="Akapitzlist"/>
        <w:numPr>
          <w:ilvl w:val="0"/>
          <w:numId w:val="13"/>
        </w:numPr>
        <w:rPr>
          <w:sz w:val="18"/>
          <w:szCs w:val="20"/>
          <w:lang w:val="pl-PL"/>
        </w:rPr>
      </w:pPr>
      <w:r w:rsidRPr="0034753E">
        <w:rPr>
          <w:sz w:val="18"/>
          <w:szCs w:val="20"/>
          <w:lang w:val="pl-PL"/>
        </w:rPr>
        <w:t>sprawozdawczości i trwałości projekt</w:t>
      </w:r>
      <w:r w:rsidRPr="0034753E">
        <w:rPr>
          <w:sz w:val="18"/>
          <w:szCs w:val="20"/>
          <w:lang w:val="pl-PL"/>
          <w14:ligatures w14:val="none"/>
        </w:rPr>
        <w:t xml:space="preserve">. </w:t>
      </w:r>
    </w:p>
    <w:p w14:paraId="6C5C20FE" w14:textId="77777777" w:rsidR="0034753E" w:rsidRDefault="0034753E" w:rsidP="0034753E">
      <w:pPr>
        <w:rPr>
          <w:sz w:val="18"/>
          <w:szCs w:val="20"/>
          <w:lang w:val="pl-PL"/>
          <w14:ligatures w14:val="none"/>
        </w:rPr>
      </w:pPr>
    </w:p>
    <w:p w14:paraId="680D25BD" w14:textId="268F871F" w:rsidR="00965827" w:rsidRPr="0034753E" w:rsidRDefault="00965827" w:rsidP="0034753E">
      <w:pPr>
        <w:ind w:left="284"/>
        <w:rPr>
          <w:sz w:val="18"/>
          <w:szCs w:val="20"/>
          <w:lang w:val="pl-PL"/>
        </w:rPr>
      </w:pPr>
      <w:r w:rsidRPr="0034753E">
        <w:rPr>
          <w:sz w:val="18"/>
          <w:szCs w:val="20"/>
          <w:lang w:val="pl-PL"/>
          <w14:ligatures w14:val="none"/>
        </w:rPr>
        <w:t>Wszelkie przypadki naruszeń tej zasady będą zgłaszane i rozpatrywane zgodnie z obowiązującymi procedurami.</w:t>
      </w:r>
    </w:p>
    <w:p w14:paraId="3D7FB7DF" w14:textId="77777777" w:rsidR="00965827" w:rsidRPr="00851834" w:rsidRDefault="00965827" w:rsidP="008A407A">
      <w:pPr>
        <w:spacing w:line="360" w:lineRule="auto"/>
        <w:ind w:left="284"/>
        <w:rPr>
          <w:sz w:val="20"/>
          <w:szCs w:val="20"/>
          <w:lang w:val="pl-PL"/>
        </w:rPr>
      </w:pPr>
    </w:p>
    <w:sectPr w:rsidR="00965827" w:rsidRPr="0085183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2F4EA" w14:textId="77777777" w:rsidR="00D7308F" w:rsidRDefault="00D7308F" w:rsidP="004E5743">
      <w:r>
        <w:separator/>
      </w:r>
    </w:p>
  </w:endnote>
  <w:endnote w:type="continuationSeparator" w:id="0">
    <w:p w14:paraId="1F7861A5" w14:textId="77777777" w:rsidR="00D7308F" w:rsidRDefault="00D7308F" w:rsidP="004E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1F407" w14:textId="77777777" w:rsidR="00D7308F" w:rsidRDefault="00D7308F" w:rsidP="004E5743">
      <w:r>
        <w:separator/>
      </w:r>
    </w:p>
  </w:footnote>
  <w:footnote w:type="continuationSeparator" w:id="0">
    <w:p w14:paraId="1929E8A7" w14:textId="77777777" w:rsidR="00D7308F" w:rsidRDefault="00D7308F" w:rsidP="004E5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C6E0F" w14:textId="697AF449" w:rsidR="004E5743" w:rsidRDefault="004E5743" w:rsidP="0034753E">
    <w:pPr>
      <w:pStyle w:val="Nagwek"/>
      <w:jc w:val="center"/>
    </w:pPr>
    <w:r w:rsidRPr="003D1189">
      <w:rPr>
        <w:noProof/>
        <w:lang w:val="pl-PL" w:eastAsia="pl-PL"/>
      </w:rPr>
      <w:drawing>
        <wp:inline distT="0" distB="0" distL="0" distR="0" wp14:anchorId="2CFA85AA" wp14:editId="21E69457">
          <wp:extent cx="5746684" cy="761365"/>
          <wp:effectExtent l="0" t="0" r="6985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80553" cy="765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76D6"/>
    <w:multiLevelType w:val="multilevel"/>
    <w:tmpl w:val="9906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7438E"/>
    <w:multiLevelType w:val="hybridMultilevel"/>
    <w:tmpl w:val="A0300338"/>
    <w:lvl w:ilvl="0" w:tplc="26EEEA74">
      <w:numFmt w:val="bullet"/>
      <w:lvlText w:val="•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91160E"/>
    <w:multiLevelType w:val="multilevel"/>
    <w:tmpl w:val="73D8C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B3AA2"/>
    <w:multiLevelType w:val="hybridMultilevel"/>
    <w:tmpl w:val="FFF0664A"/>
    <w:lvl w:ilvl="0" w:tplc="B5807962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DA7C1D"/>
    <w:multiLevelType w:val="multilevel"/>
    <w:tmpl w:val="90CE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58556A"/>
    <w:multiLevelType w:val="multilevel"/>
    <w:tmpl w:val="FDD0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B07358"/>
    <w:multiLevelType w:val="multilevel"/>
    <w:tmpl w:val="6CC2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A53817"/>
    <w:multiLevelType w:val="multilevel"/>
    <w:tmpl w:val="1302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00581E"/>
    <w:multiLevelType w:val="hybridMultilevel"/>
    <w:tmpl w:val="98D21EB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0B91CEC"/>
    <w:multiLevelType w:val="multilevel"/>
    <w:tmpl w:val="A1249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6600BB"/>
    <w:multiLevelType w:val="multilevel"/>
    <w:tmpl w:val="8B20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114D1A"/>
    <w:multiLevelType w:val="hybridMultilevel"/>
    <w:tmpl w:val="FDEE1772"/>
    <w:lvl w:ilvl="0" w:tplc="26EEEA74"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DA15072"/>
    <w:multiLevelType w:val="multilevel"/>
    <w:tmpl w:val="BE90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702934">
    <w:abstractNumId w:val="6"/>
  </w:num>
  <w:num w:numId="2" w16cid:durableId="1442069513">
    <w:abstractNumId w:val="9"/>
  </w:num>
  <w:num w:numId="3" w16cid:durableId="981152081">
    <w:abstractNumId w:val="4"/>
  </w:num>
  <w:num w:numId="4" w16cid:durableId="219052825">
    <w:abstractNumId w:val="2"/>
  </w:num>
  <w:num w:numId="5" w16cid:durableId="855533868">
    <w:abstractNumId w:val="12"/>
  </w:num>
  <w:num w:numId="6" w16cid:durableId="359866238">
    <w:abstractNumId w:val="5"/>
  </w:num>
  <w:num w:numId="7" w16cid:durableId="1291941689">
    <w:abstractNumId w:val="10"/>
  </w:num>
  <w:num w:numId="8" w16cid:durableId="511259055">
    <w:abstractNumId w:val="0"/>
  </w:num>
  <w:num w:numId="9" w16cid:durableId="564340946">
    <w:abstractNumId w:val="7"/>
  </w:num>
  <w:num w:numId="10" w16cid:durableId="1688602079">
    <w:abstractNumId w:val="3"/>
  </w:num>
  <w:num w:numId="11" w16cid:durableId="2028362264">
    <w:abstractNumId w:val="8"/>
  </w:num>
  <w:num w:numId="12" w16cid:durableId="1438522520">
    <w:abstractNumId w:val="11"/>
  </w:num>
  <w:num w:numId="13" w16cid:durableId="1494642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8EB"/>
    <w:rsid w:val="00082884"/>
    <w:rsid w:val="00142D71"/>
    <w:rsid w:val="00245660"/>
    <w:rsid w:val="00304FF2"/>
    <w:rsid w:val="0034753E"/>
    <w:rsid w:val="00383276"/>
    <w:rsid w:val="00386701"/>
    <w:rsid w:val="00462E35"/>
    <w:rsid w:val="004E5743"/>
    <w:rsid w:val="005168EB"/>
    <w:rsid w:val="005C0923"/>
    <w:rsid w:val="006B577D"/>
    <w:rsid w:val="00727441"/>
    <w:rsid w:val="00750251"/>
    <w:rsid w:val="00851834"/>
    <w:rsid w:val="00863F2F"/>
    <w:rsid w:val="008A407A"/>
    <w:rsid w:val="008E0B9F"/>
    <w:rsid w:val="00965827"/>
    <w:rsid w:val="00BC542E"/>
    <w:rsid w:val="00D24A91"/>
    <w:rsid w:val="00D7308F"/>
    <w:rsid w:val="00E32629"/>
    <w:rsid w:val="00E7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BD9D0"/>
  <w15:chartTrackingRefBased/>
  <w15:docId w15:val="{168C3135-9F49-4DD7-B070-C327D2A9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8EB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68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5743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5743"/>
    <w:rPr>
      <w:rFonts w:ascii="Calibri" w:hAnsi="Calibri" w:cs="Calibri"/>
      <w:kern w:val="0"/>
    </w:rPr>
  </w:style>
  <w:style w:type="paragraph" w:styleId="Stopka">
    <w:name w:val="footer"/>
    <w:basedOn w:val="Normalny"/>
    <w:link w:val="StopkaZnak"/>
    <w:uiPriority w:val="99"/>
    <w:unhideWhenUsed/>
    <w:rsid w:val="004E5743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5743"/>
    <w:rPr>
      <w:rFonts w:ascii="Calibri" w:hAnsi="Calibri" w:cs="Calibri"/>
      <w:kern w:val="0"/>
    </w:rPr>
  </w:style>
  <w:style w:type="character" w:styleId="Pogrubienie">
    <w:name w:val="Strong"/>
    <w:basedOn w:val="Domylnaczcionkaakapitu"/>
    <w:uiPriority w:val="22"/>
    <w:qFormat/>
    <w:rsid w:val="0096582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53E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2024-09-12T09:14:00Z</cp:lastPrinted>
  <dcterms:created xsi:type="dcterms:W3CDTF">2024-10-29T11:25:00Z</dcterms:created>
  <dcterms:modified xsi:type="dcterms:W3CDTF">2024-10-29T11:25:00Z</dcterms:modified>
</cp:coreProperties>
</file>